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1D" w:rsidRDefault="0018311D"/>
    <w:p w:rsidR="0018311D" w:rsidRDefault="0018311D"/>
    <w:tbl>
      <w:tblPr>
        <w:tblStyle w:val="a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18311D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Tehnici de lucru în pictură. Degradeuri cromatice în tehnica curcubeu.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Pictură-Desen</w:t>
            </w:r>
            <w:proofErr w:type="spellEnd"/>
          </w:p>
        </w:tc>
      </w:tr>
      <w:tr w:rsidR="0018311D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18311D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 xml:space="preserve"> A VI-a</w:t>
            </w:r>
          </w:p>
        </w:tc>
      </w:tr>
      <w:tr w:rsidR="0018311D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12-13 ani</w:t>
            </w:r>
          </w:p>
          <w:p w:rsidR="0018311D" w:rsidRDefault="00924639">
            <w:pPr>
              <w:spacing w:before="240" w:after="240"/>
            </w:pPr>
            <w:r>
              <w:t xml:space="preserve"> Nivel mediu</w:t>
            </w:r>
          </w:p>
        </w:tc>
      </w:tr>
      <w:tr w:rsidR="0018311D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 xml:space="preserve"> Interesați de noi tehnici de lucru și noi provocări</w:t>
            </w:r>
          </w:p>
          <w:p w:rsidR="0018311D" w:rsidRDefault="00924639">
            <w:pPr>
              <w:spacing w:before="240" w:after="240"/>
            </w:pPr>
            <w:r>
              <w:t xml:space="preserve"> Motivați</w:t>
            </w:r>
          </w:p>
        </w:tc>
      </w:tr>
      <w:tr w:rsidR="0018311D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18311D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 xml:space="preserve"> </w:t>
            </w:r>
            <w:r w:rsidR="00886850">
              <w:t xml:space="preserve">Dumitru </w:t>
            </w:r>
            <w:bookmarkStart w:id="0" w:name="_GoBack"/>
            <w:bookmarkEnd w:id="0"/>
            <w:r>
              <w:t>Socaciu Ruxandra Eugenia</w:t>
            </w:r>
          </w:p>
        </w:tc>
      </w:tr>
      <w:tr w:rsidR="0018311D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Ș</w:t>
            </w:r>
            <w:r>
              <w:rPr>
                <w:b/>
              </w:rPr>
              <w:t>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 xml:space="preserve"> Clubul Copiilor Curtea de Argeș</w:t>
            </w:r>
          </w:p>
        </w:tc>
      </w:tr>
      <w:tr w:rsidR="0018311D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18311D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Amestecuri cromatice între culorile vecine în spectrul solar (Nuanțe cromatice). Degradeuri cromatice.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 xml:space="preserve"> Să numească ordinea culorilor în spectrul solar.</w:t>
            </w:r>
          </w:p>
          <w:p w:rsidR="0018311D" w:rsidRDefault="00924639">
            <w:pPr>
              <w:spacing w:before="240"/>
            </w:pPr>
            <w:r>
              <w:t xml:space="preserve"> Să definească nuanțele cromatice.</w:t>
            </w:r>
          </w:p>
          <w:p w:rsidR="0018311D" w:rsidRDefault="00924639">
            <w:pPr>
              <w:spacing w:before="240"/>
            </w:pPr>
            <w:r>
              <w:lastRenderedPageBreak/>
              <w:t>Să obțină nuanțe cromatice prin amestecul culorilor.</w:t>
            </w:r>
          </w:p>
          <w:p w:rsidR="0018311D" w:rsidRDefault="00924639">
            <w:pPr>
              <w:spacing w:before="240"/>
            </w:pPr>
            <w:r>
              <w:t>Să combine nuanțele cromatice în degradeuri cromatice.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Culori, cercul culorilor, nuanțe cromatice, amestecuri cromatice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 xml:space="preserve"> Demonstrația, expunerea, conversația, descoperirea, exercițiul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Videoclip demonstrativ pentru obținerea de nuanțe cromatice în degrade.</w:t>
            </w:r>
          </w:p>
          <w:p w:rsidR="0018311D" w:rsidRDefault="00924639">
            <w:pPr>
              <w:spacing w:before="240"/>
            </w:pPr>
            <w:r>
              <w:t xml:space="preserve">Link </w:t>
            </w:r>
            <w:hyperlink r:id="rId8">
              <w:r>
                <w:rPr>
                  <w:color w:val="1155CC"/>
                  <w:u w:val="single"/>
                </w:rPr>
                <w:t>https://studio.frameworkconsulting.com/activity/79631/shared?type=ind</w:t>
              </w:r>
            </w:hyperlink>
          </w:p>
          <w:p w:rsidR="0018311D" w:rsidRDefault="0018311D">
            <w:pPr>
              <w:spacing w:before="240"/>
            </w:pPr>
          </w:p>
        </w:tc>
      </w:tr>
      <w:tr w:rsidR="0018311D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Resursa prezintă, sub forma unui videoclip, pașii de urmat pentru realizarea unui fond în degradeuri obținute prin nuanțarea culorilor.</w:t>
            </w:r>
          </w:p>
          <w:p w:rsidR="0018311D" w:rsidRDefault="00924639">
            <w:pPr>
              <w:spacing w:before="240"/>
            </w:pPr>
            <w:r>
              <w:t>Pe parcursul materialului video sunt inserate elemente interactive constând în explicații, definiții, întrebări și o temă la final, care permit întreruperea cursului liniar al prezentării cu alte activități.</w:t>
            </w:r>
          </w:p>
        </w:tc>
      </w:tr>
      <w:tr w:rsidR="0018311D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Scopul și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Scopul - Materializarea informațiilor pentru medierea experienței.</w:t>
            </w:r>
          </w:p>
          <w:p w:rsidR="0018311D" w:rsidRDefault="00924639">
            <w:pPr>
              <w:spacing w:before="240"/>
            </w:pPr>
            <w:r>
              <w:t>Obiectivele</w:t>
            </w:r>
          </w:p>
          <w:p w:rsidR="0018311D" w:rsidRDefault="00924639">
            <w:pPr>
              <w:spacing w:before="240"/>
            </w:pPr>
            <w:r>
              <w:t>Să faciliteze observarea și înțelegerea informațiilor și proceselor</w:t>
            </w:r>
          </w:p>
          <w:p w:rsidR="0018311D" w:rsidRDefault="00924639">
            <w:pPr>
              <w:spacing w:before="240"/>
            </w:pPr>
            <w:r>
              <w:t>Să reactualizeze cunoștințe</w:t>
            </w:r>
          </w:p>
          <w:p w:rsidR="0018311D" w:rsidRDefault="00924639">
            <w:pPr>
              <w:spacing w:before="240"/>
            </w:pPr>
            <w:r>
              <w:t xml:space="preserve">Să ofere suport care poate fi reaccesat ori de câte ori este nevoie pe parcursul </w:t>
            </w:r>
            <w:r>
              <w:t>lucrului</w:t>
            </w:r>
          </w:p>
        </w:tc>
      </w:tr>
      <w:tr w:rsidR="0018311D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18311D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Descrierea narativă a activităților de învățare  din </w:t>
            </w:r>
            <w:proofErr w:type="spellStart"/>
            <w:r>
              <w:rPr>
                <w:b/>
              </w:rPr>
              <w:t>lecție-</w:t>
            </w:r>
            <w:proofErr w:type="spellEnd"/>
            <w:r>
              <w:rPr>
                <w:b/>
              </w:rPr>
              <w:t xml:space="preserve"> pas cu pas organizare şi structură</w:t>
            </w:r>
          </w:p>
          <w:p w:rsidR="0018311D" w:rsidRDefault="0018311D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Introducere</w:t>
            </w:r>
          </w:p>
          <w:p w:rsidR="0018311D" w:rsidRDefault="00924639">
            <w:pPr>
              <w:spacing w:before="240" w:after="240"/>
            </w:pPr>
            <w:r>
              <w:t>Prezentarea temei și obiectivelor.</w:t>
            </w:r>
          </w:p>
          <w:p w:rsidR="0018311D" w:rsidRDefault="00924639">
            <w:pPr>
              <w:spacing w:before="240" w:after="240"/>
            </w:pPr>
            <w:r>
              <w:t xml:space="preserve">Reactualizarea cunoștințelor despre cercul culorilor, culorile primare, secundare și terțiare. Discuții dirijate pe cercul lui </w:t>
            </w:r>
            <w:proofErr w:type="spellStart"/>
            <w:r>
              <w:t>Itten</w:t>
            </w:r>
            <w:proofErr w:type="spellEnd"/>
            <w:r>
              <w:t xml:space="preserve">. 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before="240"/>
            </w:pPr>
          </w:p>
          <w:p w:rsidR="0018311D" w:rsidRDefault="00924639">
            <w:pPr>
              <w:spacing w:before="240"/>
            </w:pPr>
            <w:r>
              <w:t>3 min</w:t>
            </w:r>
          </w:p>
          <w:p w:rsidR="0018311D" w:rsidRDefault="0018311D">
            <w:pPr>
              <w:spacing w:before="240"/>
            </w:pPr>
          </w:p>
          <w:p w:rsidR="0018311D" w:rsidRDefault="00924639">
            <w:pPr>
              <w:spacing w:before="240"/>
            </w:pPr>
            <w:r>
              <w:t>7 min</w:t>
            </w:r>
          </w:p>
        </w:tc>
      </w:tr>
      <w:tr w:rsidR="0018311D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Desfășurarea activității</w:t>
            </w:r>
          </w:p>
          <w:p w:rsidR="0018311D" w:rsidRDefault="00924639">
            <w:pPr>
              <w:spacing w:before="240" w:after="240"/>
            </w:pPr>
            <w:r>
              <w:t>Prezentarea RED propusă.</w:t>
            </w:r>
          </w:p>
          <w:p w:rsidR="0018311D" w:rsidRDefault="00924639">
            <w:pPr>
              <w:spacing w:before="240" w:after="240"/>
            </w:pPr>
            <w:r>
              <w:t>Sesiune de discuții și întrebări. Demonstrație.</w:t>
            </w:r>
          </w:p>
          <w:p w:rsidR="0018311D" w:rsidRDefault="00924639">
            <w:pPr>
              <w:spacing w:before="240" w:after="240"/>
              <w:rPr>
                <w:b/>
              </w:rPr>
            </w:pPr>
            <w:r>
              <w:t>Exerciții practice individuale de nuanțare a culorilor. /lucrare practică - nuanțarea în degrade a culorilor din curcubeu. Coală A4, culori tempera.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before="240"/>
            </w:pPr>
          </w:p>
          <w:p w:rsidR="0018311D" w:rsidRDefault="00924639">
            <w:pPr>
              <w:spacing w:before="240"/>
            </w:pPr>
            <w:r>
              <w:t>10 min</w:t>
            </w:r>
          </w:p>
          <w:p w:rsidR="0018311D" w:rsidRDefault="00924639">
            <w:pPr>
              <w:spacing w:before="240"/>
            </w:pPr>
            <w:r>
              <w:t>5 min</w:t>
            </w:r>
          </w:p>
          <w:p w:rsidR="0018311D" w:rsidRDefault="00924639">
            <w:pPr>
              <w:spacing w:before="240"/>
            </w:pPr>
            <w:r>
              <w:t xml:space="preserve"> 20 </w:t>
            </w:r>
            <w:proofErr w:type="spellStart"/>
            <w:r>
              <w:t>miin</w:t>
            </w:r>
            <w:proofErr w:type="spellEnd"/>
          </w:p>
        </w:tc>
      </w:tr>
      <w:tr w:rsidR="0018311D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Încheiere</w:t>
            </w:r>
          </w:p>
          <w:p w:rsidR="0018311D" w:rsidRDefault="00924639">
            <w:pPr>
              <w:spacing w:before="240" w:after="240"/>
            </w:pPr>
            <w:r>
              <w:t>Sesiune de discuții, obținere feedback.</w:t>
            </w:r>
          </w:p>
          <w:p w:rsidR="0018311D" w:rsidRDefault="00924639">
            <w:pPr>
              <w:spacing w:before="240" w:after="240"/>
            </w:pPr>
            <w:r>
              <w:t xml:space="preserve">A fost dificil să aplice practic tema propusă? Vor folosi în viitor tehnica degradeurilor? Pentru ce alte game cromatice ar putea fi adaptată? (culori calde, culori reci, </w:t>
            </w:r>
            <w:proofErr w:type="spellStart"/>
            <w:r>
              <w:t>nonculori</w:t>
            </w:r>
            <w:proofErr w:type="spellEnd"/>
            <w: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5 min</w:t>
            </w:r>
          </w:p>
          <w:p w:rsidR="0018311D" w:rsidRDefault="0018311D">
            <w:pPr>
              <w:spacing w:before="240"/>
            </w:pPr>
          </w:p>
        </w:tc>
      </w:tr>
      <w:tr w:rsidR="0018311D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rPr>
                <w:b/>
              </w:rPr>
              <w:t xml:space="preserve">Organizare - </w:t>
            </w:r>
            <w:r>
              <w:t>În clasă, frontal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before="240"/>
            </w:pP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rPr>
                <w:b/>
              </w:rPr>
              <w:t xml:space="preserve">Inițială </w:t>
            </w:r>
            <w:r>
              <w:t>- Discuții dirijate</w:t>
            </w:r>
          </w:p>
          <w:p w:rsidR="0018311D" w:rsidRDefault="00924639">
            <w:pPr>
              <w:spacing w:before="240" w:after="240"/>
            </w:pPr>
            <w:r>
              <w:rPr>
                <w:b/>
              </w:rPr>
              <w:t>De parcurs</w:t>
            </w:r>
            <w:r>
              <w:t xml:space="preserve"> - Întrebări, exerciții practice, discuție liberă și dirijată</w:t>
            </w:r>
          </w:p>
        </w:tc>
      </w:tr>
      <w:tr w:rsidR="0018311D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Cunoștințe anterioare despre culori</w:t>
            </w:r>
          </w:p>
          <w:p w:rsidR="0018311D" w:rsidRDefault="00924639">
            <w:pPr>
              <w:spacing w:before="240" w:after="240"/>
            </w:pPr>
            <w:r>
              <w:lastRenderedPageBreak/>
              <w:t>Cunoștințe anterioare despre amestecul fizic al culorilor</w:t>
            </w:r>
          </w:p>
          <w:p w:rsidR="0018311D" w:rsidRDefault="00924639">
            <w:pPr>
              <w:spacing w:before="240" w:after="240"/>
            </w:pPr>
            <w:r>
              <w:t>Cunoștințe anterioare despre utilizarea materialelor specifice picturii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Sala de curs, tabla digitală, materiale specifice pentru pictură</w:t>
            </w:r>
          </w:p>
        </w:tc>
      </w:tr>
      <w:tr w:rsidR="0018311D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18311D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Un soft de redare video</w:t>
            </w:r>
          </w:p>
        </w:tc>
      </w:tr>
      <w:tr w:rsidR="0018311D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-</w:t>
            </w:r>
          </w:p>
        </w:tc>
      </w:tr>
      <w:tr w:rsidR="0018311D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Tabla digitală</w:t>
            </w:r>
          </w:p>
        </w:tc>
      </w:tr>
      <w:tr w:rsidR="0018311D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18311D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/>
            </w:pPr>
            <w:r>
              <w:t>-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Resurse digitale, planșe didactice</w:t>
            </w:r>
          </w:p>
        </w:tc>
      </w:tr>
      <w:tr w:rsidR="0018311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</w:pPr>
            <w:r>
              <w:t>O oră - 50 de minute</w:t>
            </w:r>
          </w:p>
          <w:p w:rsidR="0018311D" w:rsidRDefault="00924639">
            <w:pPr>
              <w:spacing w:before="240" w:after="240"/>
            </w:pPr>
            <w:r>
              <w:t>Sala de curs</w:t>
            </w:r>
          </w:p>
        </w:tc>
      </w:tr>
      <w:tr w:rsidR="0018311D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:rsidR="0018311D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11D" w:rsidRDefault="00924639">
            <w:pPr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</w:p>
          <w:p w:rsidR="0018311D" w:rsidRDefault="00924639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Manualele </w:t>
            </w:r>
            <w:r>
              <w:rPr>
                <w:i/>
              </w:rPr>
              <w:t>Educație Plastică</w:t>
            </w:r>
            <w:r>
              <w:t>, Victor Dima, Teora 2003</w:t>
            </w:r>
          </w:p>
          <w:p w:rsidR="0018311D" w:rsidRDefault="00924639">
            <w:pPr>
              <w:pStyle w:val="Titlu1"/>
              <w:keepNext w:val="0"/>
              <w:keepLines w:val="0"/>
              <w:numPr>
                <w:ilvl w:val="0"/>
                <w:numId w:val="1"/>
              </w:numPr>
              <w:spacing w:before="0"/>
              <w:rPr>
                <w:sz w:val="22"/>
                <w:szCs w:val="22"/>
              </w:rPr>
            </w:pPr>
            <w:bookmarkStart w:id="1" w:name="_svbqyr2uz1g4" w:colFirst="0" w:colLast="0"/>
            <w:bookmarkEnd w:id="1"/>
            <w:proofErr w:type="spellStart"/>
            <w:r>
              <w:rPr>
                <w:sz w:val="22"/>
                <w:szCs w:val="22"/>
              </w:rPr>
              <w:t>Ittens</w:t>
            </w:r>
            <w:proofErr w:type="spellEnd"/>
            <w:r>
              <w:rPr>
                <w:sz w:val="22"/>
                <w:szCs w:val="22"/>
              </w:rPr>
              <w:t xml:space="preserve">, Johannes, The </w:t>
            </w:r>
            <w:proofErr w:type="spellStart"/>
            <w:r>
              <w:rPr>
                <w:sz w:val="22"/>
                <w:szCs w:val="22"/>
              </w:rPr>
              <w:t>art</w:t>
            </w:r>
            <w:proofErr w:type="spellEnd"/>
            <w:r>
              <w:rPr>
                <w:sz w:val="22"/>
                <w:szCs w:val="22"/>
              </w:rPr>
              <w:t xml:space="preserve"> of color, 1973 - https://archive.org/details/johannes-ittens-the-art-of-color</w:t>
            </w:r>
          </w:p>
          <w:p w:rsidR="0018311D" w:rsidRDefault="0018311D">
            <w:pPr>
              <w:spacing w:line="240" w:lineRule="auto"/>
            </w:pPr>
          </w:p>
          <w:p w:rsidR="0018311D" w:rsidRDefault="0018311D">
            <w:pPr>
              <w:spacing w:before="240" w:after="240"/>
              <w:rPr>
                <w:b/>
              </w:rPr>
            </w:pPr>
          </w:p>
        </w:tc>
      </w:tr>
    </w:tbl>
    <w:p w:rsidR="0018311D" w:rsidRDefault="0018311D"/>
    <w:sectPr w:rsidR="0018311D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39" w:rsidRDefault="00924639">
      <w:pPr>
        <w:spacing w:line="240" w:lineRule="auto"/>
      </w:pPr>
      <w:r>
        <w:separator/>
      </w:r>
    </w:p>
  </w:endnote>
  <w:endnote w:type="continuationSeparator" w:id="0">
    <w:p w:rsidR="00924639" w:rsidRDefault="00924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1D" w:rsidRDefault="0018311D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108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18311D">
      <w:tc>
        <w:tcPr>
          <w:tcW w:w="2854" w:type="dxa"/>
          <w:vAlign w:val="center"/>
        </w:tcPr>
        <w:p w:rsidR="0018311D" w:rsidRDefault="00924639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18311D" w:rsidRDefault="00924639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:rsidR="0018311D" w:rsidRDefault="00924639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:rsidR="0018311D" w:rsidRDefault="0018311D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18311D" w:rsidRDefault="00924639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:rsidR="0018311D" w:rsidRDefault="00924639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18311D" w:rsidRDefault="0018311D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18311D" w:rsidRDefault="001831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39" w:rsidRDefault="00924639">
      <w:pPr>
        <w:spacing w:line="240" w:lineRule="auto"/>
      </w:pPr>
      <w:r>
        <w:separator/>
      </w:r>
    </w:p>
  </w:footnote>
  <w:footnote w:type="continuationSeparator" w:id="0">
    <w:p w:rsidR="00924639" w:rsidRDefault="00924639">
      <w:pPr>
        <w:spacing w:line="240" w:lineRule="auto"/>
      </w:pPr>
      <w:r>
        <w:continuationSeparator/>
      </w:r>
    </w:p>
  </w:footnote>
  <w:footnote w:id="1">
    <w:p w:rsidR="0018311D" w:rsidRDefault="0092463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1D" w:rsidRDefault="00924639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007E"/>
    <w:multiLevelType w:val="multilevel"/>
    <w:tmpl w:val="355C6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311D"/>
    <w:rsid w:val="0018311D"/>
    <w:rsid w:val="00886850"/>
    <w:rsid w:val="0092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86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86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frameworkconsulting.com/activity/79631/shared?type=i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Socaciu</cp:lastModifiedBy>
  <cp:revision>2</cp:revision>
  <dcterms:created xsi:type="dcterms:W3CDTF">2025-07-08T06:31:00Z</dcterms:created>
  <dcterms:modified xsi:type="dcterms:W3CDTF">2025-07-08T06:32:00Z</dcterms:modified>
</cp:coreProperties>
</file>